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5aee904da854366"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7155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CENTAR ZA PRUŽANJE USLUGA U ZAJEDNICI RUŽA PETROVIĆ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11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928.483,07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1.054.987,02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921.495,19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1.194.482,21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139.495,19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8.885,75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8.885,75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148.380,94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razdoblju od 01. siječnja do 30.09.2025. godine prihodi poslovanja ostvareni su u iznosu od 1.054.987,02 EUR. Najznačajnije povećanje prihoda poslovanja ostvareno je od iz nadležnog proračuna za financiranje rashoda poslovanja. Najznačajnije smanjenje prihoda poslovanja bilježi se na prihodima od donacija koji su za 69% manji u odnosu na isto izvještajno razdoblje prethodne godine.
Rashodi poslovanja u razdoblju od 01. siječnja do 30.09.2025. godine ostvareni su u iznosu 1.194482,21 EUR. Financijski najznačajnije povećanje rashoda evidentirano je na rashodima za zaposlene uslijed povećanja plaća i povećanja broja zaposlenih od početka ove godine. Također  je evidentirano povećanje  ostalih rashoda  za zaposlene (pomoći uslijed bolovanja i ostalih prava po TKU) uslijed povećanja broja zaposlenih, kao i troškova službenog putovanja i ostalih rashoda poslovanja vezanih uz troškove selidbe Centra u nove prostore . Najznačajnije smanjenje rashoda poslovanja bilježi se na rashodima za materijal za tekuće  i investicijsko održavanje obzirom da je Centar od ove godine preseljen u novouređene prostore. Također je evidentirano smanjenje rashoda za energiju. U navedenom razdoblju nema ostvarenih prihoda od prodaje nefinancijske imovine, dok su rashodi za nabavu nefinancijske imovine ostvareni u iznosu od 8.885,75 EUR. Navedeni rashod odnosi se na dodatna ulaganja na građevinskim objektima (usluge sanacije sanitarnog čvora u glavnoj zgradi Centra).
U navedenom razdoblju nije bilo ostvarenih primitaka i izdataka od financijske imovine i zaduživanja.
U razdoblju od 01. siječnja do 30.09.2025. godine ostvaren je manjak prihoda poslovanja u iznosu 139.495,19 EUR i manjak prihoda od nefinancijske imovine u iznosu 8.885,75 EUR, slijedom čega je na kraju izvještajnog razdoblja ostvaren ukupni manjak prihoda i primitaka u iznosu 148.380,94 EUR.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1.520,40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5.328,41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350,5</w:t>
            </w:r>
          </w:p>
        </w:tc>
      </w:tr>
    </w:tbl>
    <w:p>
      <w:pPr>
        <w:spacing w:before="0" w:after="0"/>
      </w:pPr>
    </w:p>
    <w:p>
      <w:pPr>
        <w:jc w:val="both"/>
        <w:pStyle w:val="Normal"/>
        <w:spacing w:line="240" w:lineRule="auto"/>
      </w:pPr>
      <w:r>
        <w:rPr>
          <w:sz w:val="24"/>
          <w:rFonts w:ascii="Times New Roman" w:hAnsi="Times New Roman"/>
        </w:rPr>
        <w:t>U razdoblju 01. siječnja do 30. rujna 2025. godine evidentirano je znatno povećanje ostalih nespomenutih rashoda, a koji se odnose na usluge preseljenja Centra u matičnu zgradu nakon renoviranja  te za konzultantske usluge izrade procjene rizika kućne vodoopskrbne mreže u prioritetnim objektima NZZJZ Istarske županije.</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2.648,64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283,9</w:t>
            </w:r>
          </w:p>
        </w:tc>
      </w:tr>
    </w:tbl>
    <w:p>
      <w:pPr>
        <w:spacing w:before="0" w:after="0"/>
      </w:pPr>
    </w:p>
    <w:p>
      <w:pPr>
        <w:jc w:val="both"/>
        <w:pStyle w:val="Normal"/>
        <w:spacing w:line="240" w:lineRule="auto"/>
      </w:pPr>
      <w:r>
        <w:rPr>
          <w:sz w:val="24"/>
          <w:rFonts w:ascii="Times New Roman" w:hAnsi="Times New Roman"/>
        </w:rPr>
        <w:t>U izvještajnom razdoblju 01.01. - 30.09.2025. godine evidentirano je povećanje rashoda za naknade zaposlenicima obzirom na veći broj zaposlenika na dugotrajnom bolovanju</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razdoblju 01. siječanja do 30. rujna 2025. godine nema dospjelih nepodmirenih obveza.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01a9d0dc3494a49" /></Relationships>
</file>